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</w:r>
    </w:p>
    <w:p>
      <w:pPr>
        <w:ind w:left="9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Оренбургской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9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исполнении областного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9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за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9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93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ОБЛАСТНОГО БЮДЖЕТА ЗА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ПО КОДАМ КЛАССИФИКАЦИИ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ИСТОЧНИКОВ ФИНАНСИРОВАНИЯ ДЕФИЦИТОВ БЮДЖЕТОВ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9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(рублей)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ascii="Vrinda" w:hAnsi="Vrinda" w:cs="Vrinda"/>
          <w:sz w:val="2"/>
          <w:szCs w:val="2"/>
        </w:rPr>
      </w:pPr>
      <w:r>
        <w:rPr>
          <w:rFonts w:ascii="Vrinda" w:hAnsi="Vrinda" w:cs="Vrinda"/>
          <w:sz w:val="2"/>
          <w:szCs w:val="2"/>
        </w:rPr>
      </w:r>
      <w:r>
        <w:rPr>
          <w:rFonts w:ascii="Vrinda" w:hAnsi="Vrinda" w:cs="Vrinda"/>
          <w:sz w:val="2"/>
          <w:szCs w:val="2"/>
        </w:rPr>
      </w:r>
      <w:r>
        <w:rPr>
          <w:rFonts w:ascii="Vrinda" w:hAnsi="Vrinda" w:cs="Vrinda"/>
          <w:sz w:val="2"/>
          <w:szCs w:val="2"/>
        </w:rPr>
      </w:r>
    </w:p>
    <w:tbl>
      <w:tblPr>
        <w:tblW w:w="1531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4536"/>
        <w:gridCol w:w="3119"/>
        <w:gridCol w:w="2693"/>
      </w:tblGrid>
      <w:tr>
        <w:tblPrEx/>
        <w:trPr>
          <w:cantSplit/>
          <w:trHeight w:val="2034"/>
          <w:tblHeader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  <w:outlineLvl w:val="2"/>
            </w:pPr>
            <w:r>
              <w:rPr>
                <w:sz w:val="28"/>
                <w:szCs w:val="28"/>
              </w:rPr>
              <w:t xml:space="preserve">Код главного администратора источников финансирования дефицита бюджета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кода группы, подгруппы, статьи, подвида, аналитической группы вида источников финансирования дефицитов бюджетов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показателя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Утвержденный бюджет с учетом внесенных изменений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Исполнено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815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Министерство финансов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Оренбургской области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119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33</w:t>
            </w:r>
            <w:bookmarkStart w:id="0" w:name="_GoBack"/>
            <w:r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 xml:space="preserve"> 310 668 200,00</w:t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28 952 698 192,03</w:t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01 01 00 00 02 0000 810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государственных ценных бумаг субъектов Российской Федерации, номинальная стоимость которых указана в валюте Российской Федерации 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-</w:t>
            </w:r>
            <w:r>
              <w:rPr>
                <w:sz w:val="28"/>
              </w:rPr>
              <w:t xml:space="preserve">1 122 018 </w:t>
            </w:r>
            <w:r>
              <w:rPr>
                <w:color w:val="000000"/>
                <w:sz w:val="28"/>
                <w:szCs w:val="28"/>
              </w:rPr>
              <w:t xml:space="preserve"> 000,00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-1 122 018 </w:t>
            </w:r>
            <w:r>
              <w:rPr>
                <w:color w:val="000000"/>
                <w:sz w:val="28"/>
                <w:szCs w:val="28"/>
              </w:rPr>
              <w:t xml:space="preserve"> 000,00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cantSplit/>
          <w:trHeight w:val="1298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01 02 00 00 02 0000 710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Привлечение субъектами Российской Федерации кредитов от кредитных организаций в валюте Российской Федерации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26 700 000 000,00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13 000 000 000,00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cantSplit/>
          <w:trHeight w:val="1298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01 02 00 00 02 0000 810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Погашение субъектами Российской Федерации кредитов от кредитных организаций в валюте Российской Федерации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- 10 000 000 000,00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cantSplit/>
          <w:trHeight w:val="1298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01 03 01 00 02 </w:t>
            </w:r>
            <w:r>
              <w:rPr>
                <w:sz w:val="28"/>
              </w:rPr>
              <w:t xml:space="preserve">59</w:t>
            </w:r>
            <w:r>
              <w:rPr>
                <w:sz w:val="28"/>
              </w:rPr>
              <w:t xml:space="preserve">00 710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Бюджетные кредиты, предоставленные на финансовое обеспечение реализации инфраструктурных проектов (мероприятий) за счет временно свободных средств единого счета федерального бюджета (казначейские инфраструктурные кредиты)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  <w:r>
              <w:rPr>
                <w:sz w:val="28"/>
              </w:rPr>
              <w:t xml:space="preserve">280 751 600</w:t>
            </w:r>
            <w:r>
              <w:rPr>
                <w:sz w:val="28"/>
              </w:rPr>
              <w:t xml:space="preserve">,</w:t>
            </w:r>
            <w:r>
              <w:rPr>
                <w:sz w:val="28"/>
              </w:rPr>
              <w:t xml:space="preserve">0</w:t>
            </w:r>
            <w:r>
              <w:rPr>
                <w:sz w:val="28"/>
              </w:rPr>
              <w:t xml:space="preserve">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2 280 751 600,00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cantSplit/>
          <w:trHeight w:val="324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01 03 01 00 02 2700 810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-</w:t>
            </w:r>
            <w:r>
              <w:rPr>
                <w:sz w:val="28"/>
              </w:rPr>
              <w:t xml:space="preserve">204 843 300</w:t>
            </w:r>
            <w:r>
              <w:rPr>
                <w:sz w:val="28"/>
              </w:rPr>
              <w:t xml:space="preserve">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-</w:t>
            </w:r>
            <w:r>
              <w:rPr>
                <w:sz w:val="28"/>
              </w:rPr>
              <w:t xml:space="preserve">204 843 207,14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r>
              <w:rPr>
                <w:color w:val="000000"/>
                <w:sz w:val="28"/>
                <w:szCs w:val="28"/>
              </w:rPr>
              <w:t xml:space="preserve">01 03 01 00 02 5</w:t>
            </w:r>
            <w:r>
              <w:rPr>
                <w:color w:val="000000"/>
                <w:sz w:val="28"/>
                <w:szCs w:val="28"/>
              </w:rPr>
              <w:t xml:space="preserve">7</w:t>
            </w:r>
            <w:r>
              <w:rPr>
                <w:color w:val="000000"/>
                <w:sz w:val="28"/>
                <w:szCs w:val="28"/>
              </w:rPr>
              <w:t xml:space="preserve">00 810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r>
              <w:rPr>
                <w:color w:val="000000"/>
                <w:sz w:val="28"/>
                <w:szCs w:val="28"/>
                <w:highlight w:val="white"/>
              </w:rPr>
              <w:t xml:space="preserve">Специальные казначейские кредиты, возврат которых осуществляется субъектом Российской Федерации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ind w:left="70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-</w:t>
            </w:r>
            <w:r>
              <w:rPr>
                <w:sz w:val="28"/>
              </w:rPr>
              <w:t xml:space="preserve">49 697 700</w:t>
            </w:r>
            <w:r>
              <w:rPr>
                <w:sz w:val="28"/>
              </w:rPr>
              <w:t xml:space="preserve">,00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</w:pPr>
            <w:r>
              <w:rPr>
                <w:sz w:val="28"/>
              </w:rPr>
              <w:t xml:space="preserve">-</w:t>
            </w:r>
            <w:r>
              <w:rPr>
                <w:sz w:val="28"/>
              </w:rPr>
              <w:t xml:space="preserve">49 697 671,42</w:t>
            </w:r>
            <w:r/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01 03 01 00 02 5800 810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-526 127 800,0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-526 127 745,00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8"/>
                <w:szCs w:val="28"/>
              </w:rPr>
              <w:t xml:space="preserve">815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01 05 00 00 00 0000 000</w:t>
            </w:r>
            <w:r>
              <w:rPr>
                <w:bCs/>
                <w:color w:val="000000"/>
                <w:sz w:val="28"/>
                <w:szCs w:val="28"/>
              </w:rPr>
            </w:r>
            <w:r>
              <w:rPr>
                <w:bCs/>
                <w:color w:val="000000"/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Изменение остатков средств на счетах по учету средств бюджета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</w:r>
            <w:r>
              <w:rPr>
                <w:bCs/>
                <w:color w:val="000000"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16 352 958 100,00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14 922 360 219,44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01 06 05 02 02 2603 640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Бюджетные кредиты, предоставленные для покрытия временных кассовых разрывов, возникающих при исполнении бюджетов муниципальных округов, городских округов, муниципальных районов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100 000 000,00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  <w:trHeight w:val="1796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01 06 05 02 02 2900 640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r>
              <w:rPr>
                <w:color w:val="000000"/>
                <w:sz w:val="28"/>
                <w:szCs w:val="28"/>
              </w:rPr>
              <w:t xml:space="preserve">Бюджетные кредиты бюджетам городских округов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</w:pPr>
            <w:r>
              <w:rPr>
                <w:color w:val="000000"/>
                <w:sz w:val="28"/>
                <w:szCs w:val="28"/>
              </w:rPr>
              <w:t xml:space="preserve">221 311 500</w:t>
            </w:r>
            <w:r>
              <w:rPr>
                <w:color w:val="000000"/>
                <w:sz w:val="28"/>
                <w:szCs w:val="28"/>
              </w:rPr>
              <w:t xml:space="preserve">,00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</w:pPr>
            <w:r>
              <w:rPr>
                <w:color w:val="000000"/>
                <w:sz w:val="28"/>
                <w:szCs w:val="28"/>
              </w:rPr>
              <w:t xml:space="preserve">290 170 950,00</w:t>
            </w:r>
            <w:r/>
          </w:p>
          <w:p>
            <w:r/>
            <w:r/>
          </w:p>
        </w:tc>
      </w:tr>
      <w:tr>
        <w:tblPrEx/>
        <w:trPr>
          <w:trHeight w:val="769"/>
        </w:trPr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01 06 05 02 02 5005 640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Бюджетные кредиты, предоставленные для частичного покрытия дефицитов бюджетов, возврат которых осуществляется муниципальными округами, городскими округами, муниципальными районами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vMerge w:val="restart"/>
            <w:textDirection w:val="lrTb"/>
            <w:noWrap w:val="false"/>
          </w:tcPr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24 851 800</w:t>
            </w:r>
            <w:r>
              <w:rPr>
                <w:sz w:val="28"/>
                <w:szCs w:val="28"/>
              </w:rPr>
              <w:t xml:space="preserve">,00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25 020 000</w:t>
            </w:r>
            <w:r>
              <w:rPr>
                <w:sz w:val="28"/>
                <w:szCs w:val="28"/>
              </w:rPr>
              <w:t xml:space="preserve">,00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>
          <w:cantSplit/>
          <w:trHeight w:val="2089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01 06 05 02 02 2603 540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Бюджетные кредиты, предоставленные для покрытия временных кассовых разрывов, возникающих при исполнении бюджетов муниципальных округов, городских округов, муниципальных районов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-100 000 000,00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0,00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01 06 05 02 02 5005 540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Бюджетные кредиты, предоставленные для частичного покрытия дефицитов бюджетов муниципальных округов, городских округов, муниципальных районов, возврат которых осуществляется муниципальными округами, городскими округами, муниципальными районами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-100 000 000,00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  <w:t xml:space="preserve">11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  <w:t xml:space="preserve">00 000,00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994"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0005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550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</w:t>
            </w:r>
            <w:r>
              <w:rPr>
                <w:color w:val="000000"/>
                <w:sz w:val="28"/>
                <w:szCs w:val="28"/>
              </w:rPr>
              <w:t xml:space="preserve">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</w:t>
            </w:r>
            <w:r>
              <w:rPr>
                <w:color w:val="000000"/>
                <w:sz w:val="28"/>
                <w:szCs w:val="28"/>
              </w:rPr>
              <w:t xml:space="preserve">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(увеличение финансовых активов за счет привлечен</w:t>
            </w:r>
            <w:r>
              <w:rPr>
                <w:color w:val="000000"/>
                <w:sz w:val="28"/>
                <w:szCs w:val="28"/>
              </w:rPr>
              <w:t xml:space="preserve">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615 000 000,00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02 05 00 00 02 0000 820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-266 518 000,00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-266 517 953,85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ВСЕГО ИСТОЧНИКОВ ФИНАНСИРОВАНИЯ ДЕФИЦИТОВ БЮДЖЕТОВ</w:t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33 310 668 200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,00</w:t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28 952 698 192,03</w:t>
            </w:r>
            <w:r>
              <w:rPr>
                <w:b/>
                <w:bCs/>
                <w:color w:val="000000"/>
                <w:sz w:val="28"/>
                <w:szCs w:val="28"/>
              </w:rPr>
            </w: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709" w:right="851" w:bottom="284" w:left="85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50402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rPr>
        <w:rStyle w:val="891"/>
        <w:sz w:val="24"/>
        <w:szCs w:val="24"/>
      </w:rPr>
      <w:framePr w:wrap="around" w:vAnchor="text" w:hAnchor="margin" w:xAlign="center" w:y="1"/>
    </w:pPr>
    <w:r>
      <w:rPr>
        <w:rStyle w:val="891"/>
        <w:sz w:val="24"/>
        <w:szCs w:val="24"/>
      </w:rPr>
      <w:fldChar w:fldCharType="begin"/>
    </w:r>
    <w:r>
      <w:rPr>
        <w:rStyle w:val="891"/>
        <w:sz w:val="24"/>
        <w:szCs w:val="24"/>
      </w:rPr>
      <w:instrText xml:space="preserve">PAGE  </w:instrText>
    </w:r>
    <w:r>
      <w:rPr>
        <w:rStyle w:val="891"/>
        <w:sz w:val="24"/>
        <w:szCs w:val="24"/>
      </w:rPr>
      <w:fldChar w:fldCharType="separate"/>
    </w:r>
    <w:r>
      <w:rPr>
        <w:rStyle w:val="891"/>
        <w:sz w:val="24"/>
        <w:szCs w:val="24"/>
      </w:rPr>
      <w:t xml:space="preserve">2</w:t>
    </w:r>
    <w:r>
      <w:rPr>
        <w:rStyle w:val="891"/>
        <w:sz w:val="24"/>
        <w:szCs w:val="24"/>
      </w:rPr>
      <w:fldChar w:fldCharType="end"/>
    </w:r>
    <w:r>
      <w:rPr>
        <w:rStyle w:val="891"/>
        <w:sz w:val="24"/>
        <w:szCs w:val="24"/>
      </w:rPr>
    </w:r>
    <w:r>
      <w:rPr>
        <w:rStyle w:val="891"/>
        <w:sz w:val="24"/>
        <w:szCs w:val="24"/>
      </w:rPr>
    </w:r>
  </w:p>
  <w:p>
    <w:pPr>
      <w:pStyle w:val="74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rPr>
        <w:rStyle w:val="891"/>
      </w:rPr>
      <w:framePr w:wrap="around" w:vAnchor="text" w:hAnchor="margin" w:xAlign="center" w:y="1"/>
    </w:pPr>
    <w:r>
      <w:rPr>
        <w:rStyle w:val="891"/>
      </w:rPr>
      <w:fldChar w:fldCharType="begin"/>
    </w:r>
    <w:r>
      <w:rPr>
        <w:rStyle w:val="891"/>
      </w:rPr>
      <w:instrText xml:space="preserve">PAGE  </w:instrText>
    </w:r>
    <w:r>
      <w:rPr>
        <w:rStyle w:val="891"/>
      </w:rPr>
      <w:fldChar w:fldCharType="end"/>
    </w:r>
    <w:r>
      <w:rPr>
        <w:rStyle w:val="891"/>
      </w:rPr>
    </w:r>
    <w:r>
      <w:rPr>
        <w:rStyle w:val="891"/>
      </w:rPr>
    </w:r>
  </w:p>
  <w:p>
    <w:pPr>
      <w:pStyle w:val="7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2">
    <w:name w:val="Heading 1 Char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693">
    <w:name w:val="Heading 2 Char"/>
    <w:basedOn w:val="720"/>
    <w:link w:val="712"/>
    <w:uiPriority w:val="9"/>
    <w:rPr>
      <w:rFonts w:ascii="Arial" w:hAnsi="Arial" w:eastAsia="Arial" w:cs="Arial"/>
      <w:sz w:val="34"/>
    </w:rPr>
  </w:style>
  <w:style w:type="character" w:styleId="694">
    <w:name w:val="Heading 3 Char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695">
    <w:name w:val="Heading 4 Char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696">
    <w:name w:val="Heading 5 Char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697">
    <w:name w:val="Heading 6 Char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698">
    <w:name w:val="Heading 7 Char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8 Char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00">
    <w:name w:val="Heading 9 Char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character" w:styleId="701">
    <w:name w:val="Title Char"/>
    <w:basedOn w:val="720"/>
    <w:link w:val="733"/>
    <w:uiPriority w:val="10"/>
    <w:rPr>
      <w:sz w:val="48"/>
      <w:szCs w:val="48"/>
    </w:rPr>
  </w:style>
  <w:style w:type="character" w:styleId="702">
    <w:name w:val="Subtitle Char"/>
    <w:basedOn w:val="720"/>
    <w:link w:val="735"/>
    <w:uiPriority w:val="11"/>
    <w:rPr>
      <w:sz w:val="24"/>
      <w:szCs w:val="24"/>
    </w:rPr>
  </w:style>
  <w:style w:type="character" w:styleId="703">
    <w:name w:val="Quote Char"/>
    <w:link w:val="737"/>
    <w:uiPriority w:val="29"/>
    <w:rPr>
      <w:i/>
    </w:rPr>
  </w:style>
  <w:style w:type="character" w:styleId="704">
    <w:name w:val="Intense Quote Char"/>
    <w:link w:val="739"/>
    <w:uiPriority w:val="30"/>
    <w:rPr>
      <w:i/>
    </w:rPr>
  </w:style>
  <w:style w:type="character" w:styleId="705">
    <w:name w:val="Header Char"/>
    <w:basedOn w:val="720"/>
    <w:link w:val="741"/>
    <w:uiPriority w:val="99"/>
  </w:style>
  <w:style w:type="character" w:styleId="706">
    <w:name w:val="Footer Char"/>
    <w:basedOn w:val="720"/>
    <w:link w:val="743"/>
    <w:uiPriority w:val="99"/>
  </w:style>
  <w:style w:type="character" w:styleId="707">
    <w:name w:val="Caption Char"/>
    <w:basedOn w:val="720"/>
    <w:link w:val="745"/>
    <w:uiPriority w:val="35"/>
    <w:rPr>
      <w:b/>
      <w:bCs/>
      <w:color w:val="4f81bd" w:themeColor="accent1"/>
      <w:sz w:val="18"/>
      <w:szCs w:val="18"/>
    </w:rPr>
  </w:style>
  <w:style w:type="character" w:styleId="708">
    <w:name w:val="Footnote Text Char"/>
    <w:link w:val="874"/>
    <w:uiPriority w:val="99"/>
    <w:rPr>
      <w:sz w:val="18"/>
    </w:rPr>
  </w:style>
  <w:style w:type="character" w:styleId="709">
    <w:name w:val="Endnote Text Char"/>
    <w:link w:val="877"/>
    <w:uiPriority w:val="99"/>
    <w:rPr>
      <w:sz w:val="20"/>
    </w:rPr>
  </w:style>
  <w:style w:type="paragraph" w:styleId="710" w:default="1">
    <w:name w:val="Normal"/>
    <w:qFormat/>
    <w:rPr>
      <w:lang w:eastAsia="ru-RU"/>
    </w:rPr>
  </w:style>
  <w:style w:type="paragraph" w:styleId="711">
    <w:name w:val="Heading 1"/>
    <w:basedOn w:val="710"/>
    <w:next w:val="710"/>
    <w:link w:val="72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2">
    <w:name w:val="Heading 2"/>
    <w:basedOn w:val="710"/>
    <w:next w:val="710"/>
    <w:link w:val="724"/>
    <w:qFormat/>
    <w:pPr>
      <w:jc w:val="both"/>
      <w:keepNext/>
      <w:outlineLvl w:val="1"/>
    </w:pPr>
    <w:rPr>
      <w:sz w:val="28"/>
      <w:szCs w:val="28"/>
    </w:rPr>
  </w:style>
  <w:style w:type="paragraph" w:styleId="713">
    <w:name w:val="Heading 3"/>
    <w:basedOn w:val="710"/>
    <w:next w:val="710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4">
    <w:name w:val="Heading 4"/>
    <w:basedOn w:val="710"/>
    <w:next w:val="710"/>
    <w:link w:val="7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5">
    <w:name w:val="Heading 5"/>
    <w:basedOn w:val="710"/>
    <w:next w:val="710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7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Заголовок 1 Знак"/>
    <w:link w:val="711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Заголовок 2 Знак"/>
    <w:link w:val="712"/>
    <w:uiPriority w:val="9"/>
    <w:rPr>
      <w:rFonts w:ascii="Arial" w:hAnsi="Arial" w:eastAsia="Arial" w:cs="Arial"/>
      <w:sz w:val="34"/>
    </w:rPr>
  </w:style>
  <w:style w:type="character" w:styleId="725" w:customStyle="1">
    <w:name w:val="Заголовок 3 Знак"/>
    <w:link w:val="713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Заголовок 4 Знак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Заголовок 5 Знак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Заголовок 6 Знак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Заголовок 7 Знак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Заголовок 8 Знак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Заголовок 9 Знак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List Paragraph"/>
    <w:basedOn w:val="710"/>
    <w:uiPriority w:val="34"/>
    <w:qFormat/>
    <w:pPr>
      <w:contextualSpacing/>
      <w:ind w:left="720"/>
    </w:pPr>
  </w:style>
  <w:style w:type="paragraph" w:styleId="733">
    <w:name w:val="Title"/>
    <w:basedOn w:val="710"/>
    <w:next w:val="710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4" w:customStyle="1">
    <w:name w:val="Название Знак"/>
    <w:link w:val="733"/>
    <w:uiPriority w:val="10"/>
    <w:rPr>
      <w:sz w:val="48"/>
      <w:szCs w:val="48"/>
    </w:rPr>
  </w:style>
  <w:style w:type="paragraph" w:styleId="735">
    <w:name w:val="Subtitle"/>
    <w:basedOn w:val="710"/>
    <w:next w:val="710"/>
    <w:link w:val="736"/>
    <w:uiPriority w:val="11"/>
    <w:qFormat/>
    <w:pPr>
      <w:spacing w:before="200" w:after="200"/>
    </w:pPr>
    <w:rPr>
      <w:sz w:val="24"/>
      <w:szCs w:val="24"/>
    </w:rPr>
  </w:style>
  <w:style w:type="character" w:styleId="736" w:customStyle="1">
    <w:name w:val="Подзаголовок Знак"/>
    <w:link w:val="735"/>
    <w:uiPriority w:val="11"/>
    <w:rPr>
      <w:sz w:val="24"/>
      <w:szCs w:val="24"/>
    </w:rPr>
  </w:style>
  <w:style w:type="paragraph" w:styleId="737">
    <w:name w:val="Quote"/>
    <w:basedOn w:val="710"/>
    <w:next w:val="710"/>
    <w:link w:val="738"/>
    <w:uiPriority w:val="29"/>
    <w:qFormat/>
    <w:pPr>
      <w:ind w:left="720" w:right="720"/>
    </w:pPr>
    <w:rPr>
      <w:i/>
    </w:r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710"/>
    <w:next w:val="710"/>
    <w:link w:val="7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 w:customStyle="1">
    <w:name w:val="Выделенная цитата Знак"/>
    <w:link w:val="739"/>
    <w:uiPriority w:val="30"/>
    <w:rPr>
      <w:i/>
    </w:rPr>
  </w:style>
  <w:style w:type="paragraph" w:styleId="741">
    <w:name w:val="Header"/>
    <w:basedOn w:val="710"/>
    <w:link w:val="742"/>
    <w:pPr>
      <w:tabs>
        <w:tab w:val="center" w:pos="4677" w:leader="none"/>
        <w:tab w:val="right" w:pos="9355" w:leader="none"/>
      </w:tabs>
    </w:pPr>
  </w:style>
  <w:style w:type="character" w:styleId="742" w:customStyle="1">
    <w:name w:val="Верхний колонтитул Знак"/>
    <w:link w:val="741"/>
    <w:uiPriority w:val="99"/>
  </w:style>
  <w:style w:type="paragraph" w:styleId="743">
    <w:name w:val="Footer"/>
    <w:basedOn w:val="710"/>
    <w:link w:val="744"/>
    <w:pPr>
      <w:tabs>
        <w:tab w:val="center" w:pos="4677" w:leader="none"/>
        <w:tab w:val="right" w:pos="9355" w:leader="none"/>
      </w:tabs>
    </w:pPr>
  </w:style>
  <w:style w:type="character" w:styleId="744" w:customStyle="1">
    <w:name w:val="Нижний колонтитул Знак"/>
    <w:link w:val="743"/>
    <w:uiPriority w:val="99"/>
  </w:style>
  <w:style w:type="paragraph" w:styleId="745">
    <w:name w:val="Caption"/>
    <w:basedOn w:val="710"/>
    <w:next w:val="710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 w:customStyle="1">
    <w:name w:val="Название объекта Знак"/>
    <w:link w:val="745"/>
    <w:uiPriority w:val="35"/>
    <w:rPr>
      <w:b/>
      <w:bCs/>
      <w:color w:val="4f81bd" w:themeColor="accent1"/>
      <w:sz w:val="18"/>
      <w:szCs w:val="18"/>
    </w:rPr>
  </w:style>
  <w:style w:type="table" w:styleId="747">
    <w:name w:val="Table Grid"/>
    <w:basedOn w:val="721"/>
    <w:tblPr/>
  </w:style>
  <w:style w:type="table" w:styleId="74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0000ff" w:themeColor="hyperlink"/>
      <w:u w:val="single"/>
    </w:rPr>
  </w:style>
  <w:style w:type="paragraph" w:styleId="874">
    <w:name w:val="footnote text"/>
    <w:basedOn w:val="710"/>
    <w:link w:val="875"/>
    <w:uiPriority w:val="99"/>
    <w:semiHidden/>
    <w:unhideWhenUsed/>
    <w:pPr>
      <w:spacing w:after="40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uiPriority w:val="99"/>
    <w:unhideWhenUsed/>
    <w:rPr>
      <w:vertAlign w:val="superscript"/>
    </w:rPr>
  </w:style>
  <w:style w:type="paragraph" w:styleId="877">
    <w:name w:val="endnote text"/>
    <w:basedOn w:val="710"/>
    <w:link w:val="878"/>
    <w:uiPriority w:val="99"/>
    <w:semiHidden/>
    <w:unhideWhenUsed/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uiPriority w:val="99"/>
    <w:semiHidden/>
    <w:unhideWhenUsed/>
    <w:rPr>
      <w:vertAlign w:val="superscript"/>
    </w:rPr>
  </w:style>
  <w:style w:type="paragraph" w:styleId="880">
    <w:name w:val="toc 1"/>
    <w:basedOn w:val="710"/>
    <w:next w:val="710"/>
    <w:uiPriority w:val="39"/>
    <w:unhideWhenUsed/>
    <w:pPr>
      <w:spacing w:after="57"/>
    </w:pPr>
  </w:style>
  <w:style w:type="paragraph" w:styleId="881">
    <w:name w:val="toc 2"/>
    <w:basedOn w:val="710"/>
    <w:next w:val="710"/>
    <w:uiPriority w:val="39"/>
    <w:unhideWhenUsed/>
    <w:pPr>
      <w:ind w:left="283"/>
      <w:spacing w:after="57"/>
    </w:pPr>
  </w:style>
  <w:style w:type="paragraph" w:styleId="882">
    <w:name w:val="toc 3"/>
    <w:basedOn w:val="710"/>
    <w:next w:val="710"/>
    <w:uiPriority w:val="39"/>
    <w:unhideWhenUsed/>
    <w:pPr>
      <w:ind w:left="567"/>
      <w:spacing w:after="57"/>
    </w:pPr>
  </w:style>
  <w:style w:type="paragraph" w:styleId="883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884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885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886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887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888">
    <w:name w:val="toc 9"/>
    <w:basedOn w:val="710"/>
    <w:next w:val="710"/>
    <w:uiPriority w:val="39"/>
    <w:unhideWhenUsed/>
    <w:pPr>
      <w:ind w:left="2268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710"/>
    <w:next w:val="710"/>
    <w:uiPriority w:val="99"/>
    <w:unhideWhenUsed/>
  </w:style>
  <w:style w:type="character" w:styleId="891">
    <w:name w:val="page number"/>
    <w:basedOn w:val="720"/>
  </w:style>
  <w:style w:type="paragraph" w:styleId="892">
    <w:name w:val="Balloon Text"/>
    <w:basedOn w:val="710"/>
    <w:rPr>
      <w:rFonts w:ascii="Tahoma" w:hAnsi="Tahoma" w:cs="Tahoma"/>
      <w:sz w:val="16"/>
      <w:szCs w:val="16"/>
    </w:rPr>
  </w:style>
  <w:style w:type="paragraph" w:styleId="893">
    <w:name w:val="Body Text"/>
    <w:basedOn w:val="710"/>
    <w:pPr>
      <w:jc w:val="both"/>
    </w:pPr>
    <w:rPr>
      <w:sz w:val="28"/>
      <w:szCs w:val="28"/>
    </w:rPr>
  </w:style>
  <w:style w:type="paragraph" w:styleId="894">
    <w:name w:val="No Spacing"/>
    <w:pPr>
      <w:ind w:firstLine="720"/>
      <w:jc w:val="both"/>
      <w:widowControl w:val="off"/>
    </w:pPr>
    <w:rPr>
      <w:rFonts w:eastAsia="Calibri"/>
      <w:sz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Законодательное Собрание Оренбургской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Федорова</dc:creator>
  <cp:lastModifiedBy>eapa</cp:lastModifiedBy>
  <cp:revision>45</cp:revision>
  <dcterms:created xsi:type="dcterms:W3CDTF">2020-06-18T12:09:00Z</dcterms:created>
  <dcterms:modified xsi:type="dcterms:W3CDTF">2026-05-07T09:53:38Z</dcterms:modified>
  <cp:version>983040</cp:version>
</cp:coreProperties>
</file>